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1AAE" w14:textId="0DEFBFD1" w:rsidR="005C4CE7" w:rsidRPr="005C4CE7" w:rsidRDefault="005C4CE7" w:rsidP="005C4CE7">
      <w:pPr>
        <w:rPr>
          <w:b/>
          <w:bCs/>
        </w:rPr>
      </w:pPr>
      <w:r w:rsidRPr="005C4CE7">
        <w:rPr>
          <w:b/>
          <w:noProof/>
        </w:rPr>
        <w:drawing>
          <wp:inline distT="0" distB="0" distL="0" distR="0" wp14:anchorId="4741FDF5" wp14:editId="49B86CA8">
            <wp:extent cx="1602105" cy="661035"/>
            <wp:effectExtent l="0" t="0" r="0" b="5715"/>
            <wp:docPr id="784789724" name="Afbeelding 1" descr="Afbeelding met grafische vormgeving, Graphics, visitekaartj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grafische vormgeving, Graphics, visitekaartj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9" r="-1819" b="3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160" w:vertAnchor="text" w:tblpX="-39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C4CE7" w:rsidRPr="005C4CE7" w14:paraId="39455F3F" w14:textId="77777777" w:rsidTr="00C767A4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63C6" w14:textId="6A68AD23" w:rsidR="005C4CE7" w:rsidRPr="005C4CE7" w:rsidRDefault="004F3F1B" w:rsidP="005C4CE7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NOTULEN</w:t>
            </w:r>
            <w:r w:rsidR="005C4CE7" w:rsidRPr="005C4CE7">
              <w:rPr>
                <w:i/>
                <w:iCs/>
              </w:rPr>
              <w:t xml:space="preserve">         </w:t>
            </w:r>
            <w:r w:rsidR="005C4CE7" w:rsidRPr="005C4CE7">
              <w:rPr>
                <w:b/>
                <w:i/>
                <w:iCs/>
              </w:rPr>
              <w:t xml:space="preserve"> MR de Kinderbrug</w:t>
            </w:r>
          </w:p>
        </w:tc>
      </w:tr>
      <w:tr w:rsidR="005C4CE7" w:rsidRPr="005C4CE7" w14:paraId="521CFBA1" w14:textId="77777777" w:rsidTr="00C767A4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D632" w14:textId="77777777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Datum:               dinsdag 25 maart 2025</w:t>
            </w:r>
          </w:p>
        </w:tc>
      </w:tr>
      <w:tr w:rsidR="005C4CE7" w:rsidRPr="005C4CE7" w14:paraId="16D6F726" w14:textId="77777777" w:rsidTr="00C767A4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38F" w14:textId="4CC717EB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Aanvang:            20.00u</w:t>
            </w:r>
          </w:p>
        </w:tc>
      </w:tr>
      <w:tr w:rsidR="005C4CE7" w:rsidRPr="005C4CE7" w14:paraId="19658AA1" w14:textId="77777777" w:rsidTr="00C767A4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2A3F" w14:textId="77777777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Locatie:              De Kinderbrug</w:t>
            </w:r>
          </w:p>
        </w:tc>
      </w:tr>
    </w:tbl>
    <w:p w14:paraId="567005BB" w14:textId="77777777" w:rsidR="00AE2CB0" w:rsidRPr="005C4CE7" w:rsidRDefault="00AE2CB0" w:rsidP="005C4CE7"/>
    <w:tbl>
      <w:tblPr>
        <w:tblpPr w:leftFromText="141" w:rightFromText="141" w:bottomFromText="160" w:vertAnchor="text" w:horzAnchor="margin" w:tblpX="-352" w:tblpY="420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2408"/>
        <w:gridCol w:w="3232"/>
        <w:gridCol w:w="2831"/>
        <w:gridCol w:w="1057"/>
      </w:tblGrid>
      <w:tr w:rsidR="005C4CE7" w:rsidRPr="005C4CE7" w14:paraId="36FB34D1" w14:textId="77777777" w:rsidTr="00C767A4">
        <w:trPr>
          <w:trHeight w:val="32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</w:tcPr>
          <w:p w14:paraId="5087C7F9" w14:textId="77777777" w:rsidR="005C4CE7" w:rsidRPr="005C4CE7" w:rsidRDefault="005C4CE7" w:rsidP="005C4CE7">
            <w:pPr>
              <w:rPr>
                <w:b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hideMark/>
          </w:tcPr>
          <w:p w14:paraId="040F858F" w14:textId="77777777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Agendapunt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hideMark/>
          </w:tcPr>
          <w:p w14:paraId="62837A37" w14:textId="77777777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Toelichting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hideMark/>
          </w:tcPr>
          <w:p w14:paraId="68F483D1" w14:textId="77777777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Status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hideMark/>
          </w:tcPr>
          <w:p w14:paraId="0771E217" w14:textId="77777777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actie</w:t>
            </w:r>
          </w:p>
        </w:tc>
      </w:tr>
      <w:tr w:rsidR="005C4CE7" w:rsidRPr="005C4CE7" w14:paraId="553E673B" w14:textId="77777777" w:rsidTr="00C767A4">
        <w:trPr>
          <w:trHeight w:val="32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130F" w14:textId="77777777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1E2F" w14:textId="2A1551E8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 xml:space="preserve">Opening en vaststellen agenda 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D4F4" w14:textId="77777777" w:rsidR="005C4CE7" w:rsidRPr="005C4CE7" w:rsidRDefault="005C4CE7" w:rsidP="005C4CE7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5C4CE7">
              <w:rPr>
                <w:bCs/>
                <w:sz w:val="20"/>
                <w:szCs w:val="20"/>
              </w:rPr>
              <w:t xml:space="preserve">Op de agenda geen </w:t>
            </w:r>
            <w:r w:rsidRPr="005C4CE7">
              <w:rPr>
                <w:b/>
                <w:sz w:val="20"/>
                <w:szCs w:val="20"/>
              </w:rPr>
              <w:t>rondvraag</w:t>
            </w:r>
            <w:r w:rsidRPr="005C4CE7">
              <w:rPr>
                <w:bCs/>
                <w:sz w:val="20"/>
                <w:szCs w:val="20"/>
              </w:rPr>
              <w:t>, maar vooraf eventueel nog punten aangeven, die in deze vergadering passen of naar de volgende vergadering gaan.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736D" w14:textId="77777777" w:rsidR="005C4CE7" w:rsidRPr="005C4CE7" w:rsidRDefault="005C4CE7" w:rsidP="005C4CE7">
            <w:r w:rsidRPr="005C4CE7"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EDD2" w14:textId="77777777" w:rsidR="005C4CE7" w:rsidRPr="005C4CE7" w:rsidRDefault="005C4CE7" w:rsidP="005C4CE7">
            <w:r w:rsidRPr="005C4CE7">
              <w:t>Ellen</w:t>
            </w:r>
          </w:p>
        </w:tc>
      </w:tr>
      <w:tr w:rsidR="005C4CE7" w:rsidRPr="005C4CE7" w14:paraId="1B79C77F" w14:textId="77777777" w:rsidTr="00C767A4">
        <w:trPr>
          <w:trHeight w:val="36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962" w14:textId="77777777" w:rsidR="005C4CE7" w:rsidRPr="005C4CE7" w:rsidRDefault="005C4CE7" w:rsidP="005C4CE7">
            <w:pPr>
              <w:rPr>
                <w:b/>
                <w:bCs/>
              </w:rPr>
            </w:pPr>
          </w:p>
          <w:p w14:paraId="053F8479" w14:textId="77777777" w:rsidR="005C4CE7" w:rsidRPr="005C4CE7" w:rsidRDefault="005C4CE7" w:rsidP="005C4CE7">
            <w:pPr>
              <w:rPr>
                <w:b/>
                <w:bCs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D0B3" w14:textId="77777777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t>vergaderingen 2024- 2025</w:t>
            </w:r>
          </w:p>
          <w:p w14:paraId="09584C75" w14:textId="26E1A666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t>Dinsdagen</w:t>
            </w:r>
            <w:r w:rsidRPr="005C4CE7">
              <w:t xml:space="preserve">:     </w:t>
            </w:r>
            <w:r w:rsidR="00DD3976">
              <w:t>20</w:t>
            </w:r>
            <w:r w:rsidRPr="005C4CE7">
              <w:t xml:space="preserve"> mei 2025    24 juni 2025</w:t>
            </w:r>
          </w:p>
        </w:tc>
      </w:tr>
      <w:tr w:rsidR="005C4CE7" w:rsidRPr="005C4CE7" w14:paraId="4DC704C7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264F" w14:textId="77777777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001" w14:textId="4DF101BC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 xml:space="preserve">Notulen  </w:t>
            </w:r>
            <w:r>
              <w:rPr>
                <w:b/>
              </w:rPr>
              <w:br/>
            </w:r>
            <w:r w:rsidRPr="005C4CE7">
              <w:rPr>
                <w:b/>
              </w:rPr>
              <w:t>14 januari 2025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9EE6" w14:textId="77777777" w:rsidR="005C4CE7" w:rsidRPr="005C4CE7" w:rsidRDefault="005C4CE7" w:rsidP="005C4CE7">
            <w:r w:rsidRPr="005C4CE7">
              <w:t>Ter goedkeuring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8A6F" w14:textId="77777777" w:rsidR="005C4CE7" w:rsidRPr="005C4CE7" w:rsidRDefault="005C4CE7" w:rsidP="005C4CE7">
            <w:r w:rsidRPr="005C4CE7"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CF7" w14:textId="77777777" w:rsidR="005C4CE7" w:rsidRPr="005C4CE7" w:rsidRDefault="005C4CE7" w:rsidP="005C4CE7">
            <w:r w:rsidRPr="005C4CE7">
              <w:t>Jolande</w:t>
            </w:r>
          </w:p>
        </w:tc>
      </w:tr>
      <w:tr w:rsidR="005C4CE7" w:rsidRPr="005C4CE7" w14:paraId="3669EAB8" w14:textId="77777777" w:rsidTr="003A689F">
        <w:trPr>
          <w:trHeight w:val="58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735" w14:textId="77777777" w:rsidR="005C4CE7" w:rsidRPr="005C4CE7" w:rsidRDefault="005C4CE7" w:rsidP="005C4CE7">
            <w:pPr>
              <w:rPr>
                <w:b/>
                <w:bCs/>
              </w:rPr>
            </w:pPr>
          </w:p>
          <w:p w14:paraId="4DC5E231" w14:textId="77777777" w:rsidR="005C4CE7" w:rsidRPr="005C4CE7" w:rsidRDefault="005C4CE7" w:rsidP="005C4CE7">
            <w:pPr>
              <w:rPr>
                <w:b/>
                <w:bCs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47E5" w14:textId="08423F8D" w:rsidR="005C4CE7" w:rsidRPr="005C4CE7" w:rsidRDefault="005C4CE7" w:rsidP="005C4CE7">
            <w:r w:rsidRPr="00AE362A">
              <w:rPr>
                <w:color w:val="4EA72E" w:themeColor="accent6"/>
                <w:sz w:val="20"/>
                <w:szCs w:val="20"/>
              </w:rPr>
              <w:t>Notulen worden goedgekeurd!</w:t>
            </w:r>
          </w:p>
        </w:tc>
      </w:tr>
      <w:tr w:rsidR="003A689F" w:rsidRPr="005C4CE7" w14:paraId="796E45F0" w14:textId="77777777" w:rsidTr="00C767A4">
        <w:trPr>
          <w:trHeight w:val="43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0D3" w14:textId="77777777" w:rsidR="003A689F" w:rsidRPr="005C4CE7" w:rsidRDefault="003A689F" w:rsidP="005C4CE7">
            <w:pPr>
              <w:rPr>
                <w:b/>
                <w:bCs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E38" w14:textId="4FB99E4D" w:rsidR="003A689F" w:rsidRPr="003A689F" w:rsidRDefault="003A689F" w:rsidP="005C4CE7">
            <w:pPr>
              <w:rPr>
                <w:color w:val="0070C0"/>
                <w:sz w:val="20"/>
                <w:szCs w:val="20"/>
              </w:rPr>
            </w:pPr>
            <w:r w:rsidRPr="001D1025">
              <w:rPr>
                <w:b/>
                <w:bCs/>
                <w:color w:val="4EA72E" w:themeColor="accent6"/>
                <w:sz w:val="20"/>
                <w:szCs w:val="20"/>
              </w:rPr>
              <w:t>Kennismaking MR Kinderbrug / OC Poldersprong</w:t>
            </w:r>
            <w:r w:rsidRPr="001D1025">
              <w:rPr>
                <w:b/>
                <w:bCs/>
                <w:color w:val="4EA72E" w:themeColor="accent6"/>
                <w:sz w:val="20"/>
                <w:szCs w:val="20"/>
              </w:rPr>
              <w:br/>
            </w:r>
            <w:r w:rsidRPr="001D1025">
              <w:rPr>
                <w:color w:val="4EA72E" w:themeColor="accent6"/>
                <w:sz w:val="20"/>
                <w:szCs w:val="20"/>
              </w:rPr>
              <w:t xml:space="preserve">Met een gezamenlijke start hebben de MR en OC in het kader van de samenwerking binnen het </w:t>
            </w:r>
            <w:proofErr w:type="spellStart"/>
            <w:r w:rsidRPr="001D1025">
              <w:rPr>
                <w:color w:val="4EA72E" w:themeColor="accent6"/>
                <w:sz w:val="20"/>
                <w:szCs w:val="20"/>
              </w:rPr>
              <w:t>kindcentrum</w:t>
            </w:r>
            <w:proofErr w:type="spellEnd"/>
            <w:r w:rsidRPr="001D1025">
              <w:rPr>
                <w:color w:val="4EA72E" w:themeColor="accent6"/>
                <w:sz w:val="20"/>
                <w:szCs w:val="20"/>
              </w:rPr>
              <w:t xml:space="preserve">  kennis met elkaar gemaakt. Doel is om waar het kan in de toekomst vanuit deze rollen met elkaar op te trekken m.b.t. de ontwikkeling opvang &amp; onderwijs.</w:t>
            </w:r>
          </w:p>
        </w:tc>
      </w:tr>
      <w:tr w:rsidR="005C4CE7" w:rsidRPr="005C4CE7" w14:paraId="0C9B24E1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561C" w14:textId="77777777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2BA9" w14:textId="745DCF92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 xml:space="preserve">Mededelingen </w:t>
            </w:r>
            <w:r>
              <w:rPr>
                <w:b/>
              </w:rPr>
              <w:br/>
            </w:r>
            <w:r w:rsidRPr="005C4CE7">
              <w:rPr>
                <w:b/>
              </w:rPr>
              <w:t>OR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FB23" w14:textId="77777777" w:rsidR="005C4CE7" w:rsidRPr="005C4CE7" w:rsidRDefault="005C4CE7" w:rsidP="005C4CE7">
            <w:r w:rsidRPr="005C4CE7">
              <w:t>Update</w:t>
            </w:r>
          </w:p>
          <w:p w14:paraId="4AF45A96" w14:textId="77777777" w:rsidR="005C4CE7" w:rsidRPr="005C4CE7" w:rsidRDefault="005C4CE7" w:rsidP="005C4CE7">
            <w:r w:rsidRPr="005C4CE7">
              <w:t>Verhoging ouderbijdrage.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0369" w14:textId="77777777" w:rsidR="005C4CE7" w:rsidRPr="005C4CE7" w:rsidRDefault="005C4CE7" w:rsidP="005C4CE7">
            <w:r w:rsidRPr="005C4CE7">
              <w:t>Informatie/update/vraag-goedkeuring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199" w14:textId="69CE7A62" w:rsidR="005C4CE7" w:rsidRPr="005C4CE7" w:rsidRDefault="005C4CE7" w:rsidP="005C4CE7">
            <w:r w:rsidRPr="005C4CE7">
              <w:t>N</w:t>
            </w:r>
            <w:r>
              <w:t>icole</w:t>
            </w:r>
          </w:p>
        </w:tc>
      </w:tr>
      <w:tr w:rsidR="005C4CE7" w:rsidRPr="005C4CE7" w14:paraId="6B2E0C58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B5A" w14:textId="77777777" w:rsidR="005C4CE7" w:rsidRPr="005C4CE7" w:rsidRDefault="005C4CE7" w:rsidP="005C4CE7">
            <w:pPr>
              <w:rPr>
                <w:b/>
                <w:bCs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113B" w14:textId="2BFBC21F" w:rsidR="008F654F" w:rsidRPr="00AE2CB0" w:rsidRDefault="008F654F" w:rsidP="008F654F">
            <w:p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>Tijdens de OR-vergadering zijn de volgende punten besproken:</w:t>
            </w:r>
          </w:p>
          <w:p w14:paraId="607B347F" w14:textId="77777777" w:rsidR="00AE2CB0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 xml:space="preserve">Er is een verzoek ingediend voor een verhoging van de 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>ouderbijdrage</w:t>
            </w:r>
            <w:r w:rsidRPr="00AE2CB0">
              <w:rPr>
                <w:color w:val="4EA72E" w:themeColor="accent6"/>
                <w:sz w:val="20"/>
                <w:szCs w:val="20"/>
              </w:rPr>
              <w:t>. De OR stelt voor om de bijdrage met €2,50 te verhogen, van €35,00 naar €37,50, op basis van de tweejaarlijkse aanpassing. De MR heeft hiermee ingestemd.</w:t>
            </w:r>
          </w:p>
          <w:p w14:paraId="38F7A9C8" w14:textId="77777777" w:rsidR="00AE2CB0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 xml:space="preserve">Carnaval </w:t>
            </w:r>
            <w:r w:rsidRPr="00AE2CB0">
              <w:rPr>
                <w:color w:val="4EA72E" w:themeColor="accent6"/>
                <w:sz w:val="20"/>
                <w:szCs w:val="20"/>
              </w:rPr>
              <w:t>is goed verlopen.</w:t>
            </w:r>
          </w:p>
          <w:p w14:paraId="11D0027B" w14:textId="77777777" w:rsidR="00AE2CB0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>Voor het rondbrengen van de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 xml:space="preserve"> paasstokken</w:t>
            </w:r>
            <w:r w:rsidRPr="00AE2CB0">
              <w:rPr>
                <w:color w:val="4EA72E" w:themeColor="accent6"/>
                <w:sz w:val="20"/>
                <w:szCs w:val="20"/>
              </w:rPr>
              <w:t xml:space="preserve"> zijn er voldoende ouders gevonden</w:t>
            </w:r>
          </w:p>
          <w:p w14:paraId="439FB162" w14:textId="77777777" w:rsidR="00AE2CB0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 xml:space="preserve">De voorbereidingen voor de 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>Koningsspelen</w:t>
            </w:r>
            <w:r w:rsidRPr="00AE2CB0">
              <w:rPr>
                <w:color w:val="4EA72E" w:themeColor="accent6"/>
                <w:sz w:val="20"/>
                <w:szCs w:val="20"/>
              </w:rPr>
              <w:t xml:space="preserve"> zijn in volle gang.</w:t>
            </w:r>
          </w:p>
          <w:p w14:paraId="4C944C8A" w14:textId="2ED90FCE" w:rsidR="00AE2CB0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 xml:space="preserve">De 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>zomermarkt</w:t>
            </w:r>
            <w:r w:rsidRPr="00AE2CB0">
              <w:rPr>
                <w:color w:val="4EA72E" w:themeColor="accent6"/>
                <w:sz w:val="20"/>
                <w:szCs w:val="20"/>
              </w:rPr>
              <w:t xml:space="preserve"> </w:t>
            </w:r>
            <w:r w:rsidR="00BE4B58" w:rsidRPr="001D1025">
              <w:rPr>
                <w:color w:val="4EA72E" w:themeColor="accent6"/>
                <w:sz w:val="20"/>
                <w:szCs w:val="20"/>
              </w:rPr>
              <w:t>(opvang en onderwijs</w:t>
            </w:r>
            <w:r w:rsidR="00BE4B58">
              <w:rPr>
                <w:color w:val="4EA72E" w:themeColor="accent6"/>
                <w:sz w:val="20"/>
                <w:szCs w:val="20"/>
              </w:rPr>
              <w:t xml:space="preserve">) </w:t>
            </w:r>
            <w:r w:rsidRPr="00AE2CB0">
              <w:rPr>
                <w:color w:val="4EA72E" w:themeColor="accent6"/>
                <w:sz w:val="20"/>
                <w:szCs w:val="20"/>
              </w:rPr>
              <w:t>vindt plaats op vrijdag 13 juni 2025, van 14:00 tot 16:00 uur</w:t>
            </w:r>
            <w:r>
              <w:rPr>
                <w:color w:val="4EA72E" w:themeColor="accent6"/>
                <w:sz w:val="20"/>
                <w:szCs w:val="20"/>
              </w:rPr>
              <w:t xml:space="preserve"> (?)</w:t>
            </w:r>
          </w:p>
          <w:p w14:paraId="033321A5" w14:textId="4F388E66" w:rsidR="00AE2CB0" w:rsidRPr="00BE4B58" w:rsidRDefault="00AE2CB0" w:rsidP="00AE2CB0">
            <w:pPr>
              <w:pStyle w:val="Lijstalinea"/>
              <w:rPr>
                <w:color w:val="0070C0"/>
                <w:sz w:val="20"/>
                <w:szCs w:val="20"/>
              </w:rPr>
            </w:pPr>
            <w:r w:rsidRPr="001D1025">
              <w:rPr>
                <w:color w:val="4EA72E" w:themeColor="accent6"/>
                <w:sz w:val="20"/>
                <w:szCs w:val="20"/>
              </w:rPr>
              <w:lastRenderedPageBreak/>
              <w:t xml:space="preserve">Het </w:t>
            </w:r>
            <w:r w:rsidR="00BE4B58" w:rsidRPr="001D1025">
              <w:rPr>
                <w:color w:val="4EA72E" w:themeColor="accent6"/>
                <w:sz w:val="20"/>
                <w:szCs w:val="20"/>
              </w:rPr>
              <w:t xml:space="preserve">centrale </w:t>
            </w:r>
            <w:r w:rsidRPr="001D1025">
              <w:rPr>
                <w:color w:val="4EA72E" w:themeColor="accent6"/>
                <w:sz w:val="20"/>
                <w:szCs w:val="20"/>
              </w:rPr>
              <w:t>thema  is "de groene wereld".</w:t>
            </w:r>
            <w:r w:rsidR="00BE4B58" w:rsidRPr="001D1025">
              <w:rPr>
                <w:color w:val="4EA72E" w:themeColor="accent6"/>
                <w:sz w:val="20"/>
                <w:szCs w:val="20"/>
              </w:rPr>
              <w:t xml:space="preserve"> Het doel voor de opbrengst zal nog worden vastgesteld</w:t>
            </w:r>
            <w:r w:rsidR="00BE4B58" w:rsidRPr="00BE4B58">
              <w:rPr>
                <w:color w:val="0070C0"/>
                <w:sz w:val="20"/>
                <w:szCs w:val="20"/>
              </w:rPr>
              <w:t>.</w:t>
            </w:r>
          </w:p>
          <w:p w14:paraId="01392D21" w14:textId="77777777" w:rsidR="00BE4B58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 xml:space="preserve">De datum voor de 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>thema dag/alternatief schoolreisje</w:t>
            </w:r>
            <w:r w:rsidRPr="00AE2CB0">
              <w:rPr>
                <w:color w:val="4EA72E" w:themeColor="accent6"/>
                <w:sz w:val="20"/>
                <w:szCs w:val="20"/>
              </w:rPr>
              <w:t xml:space="preserve"> is </w:t>
            </w:r>
            <w:r w:rsidR="00BE4B58" w:rsidRPr="00FC3C46">
              <w:rPr>
                <w:color w:val="4EA72E" w:themeColor="accent6"/>
                <w:sz w:val="20"/>
                <w:szCs w:val="20"/>
              </w:rPr>
              <w:t>op</w:t>
            </w:r>
            <w:r w:rsidRPr="00FC3C46">
              <w:rPr>
                <w:color w:val="4EA72E" w:themeColor="accent6"/>
                <w:sz w:val="20"/>
                <w:szCs w:val="20"/>
              </w:rPr>
              <w:t xml:space="preserve"> </w:t>
            </w:r>
            <w:r w:rsidR="00BE4B58" w:rsidRPr="00BE4B58">
              <w:rPr>
                <w:color w:val="0070C0"/>
                <w:sz w:val="20"/>
                <w:szCs w:val="20"/>
              </w:rPr>
              <w:t>…</w:t>
            </w:r>
            <w:r w:rsidRPr="00AE2CB0">
              <w:rPr>
                <w:color w:val="4EA72E" w:themeColor="accent6"/>
                <w:sz w:val="20"/>
                <w:szCs w:val="20"/>
              </w:rPr>
              <w:t>september 2025.</w:t>
            </w:r>
            <w:r w:rsidR="00BE4B58">
              <w:rPr>
                <w:color w:val="4EA72E" w:themeColor="accent6"/>
                <w:sz w:val="20"/>
                <w:szCs w:val="20"/>
              </w:rPr>
              <w:t xml:space="preserve"> </w:t>
            </w:r>
          </w:p>
          <w:p w14:paraId="520B2138" w14:textId="77777777" w:rsidR="00AE2CB0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 xml:space="preserve">De 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>fotograaf</w:t>
            </w:r>
            <w:r w:rsidRPr="00AE2CB0">
              <w:rPr>
                <w:color w:val="4EA72E" w:themeColor="accent6"/>
                <w:sz w:val="20"/>
                <w:szCs w:val="20"/>
              </w:rPr>
              <w:t xml:space="preserve"> komt op maandag 22 september 2025.</w:t>
            </w:r>
          </w:p>
          <w:p w14:paraId="66C57324" w14:textId="77777777" w:rsidR="00AE2CB0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 xml:space="preserve">Er was een 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>gezamenlijke bijeenkomst van de OR</w:t>
            </w:r>
            <w:r w:rsidRPr="00AE2CB0">
              <w:rPr>
                <w:color w:val="4EA72E" w:themeColor="accent6"/>
                <w:sz w:val="20"/>
                <w:szCs w:val="20"/>
              </w:rPr>
              <w:t xml:space="preserve"> van verschillende scholen binnen de SSBA.</w:t>
            </w:r>
          </w:p>
          <w:p w14:paraId="2C08DDB4" w14:textId="6176ACCF" w:rsidR="005C4CE7" w:rsidRPr="00AE2CB0" w:rsidRDefault="00AE2CB0" w:rsidP="00AE2CB0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AE2CB0">
              <w:rPr>
                <w:color w:val="4EA72E" w:themeColor="accent6"/>
                <w:sz w:val="20"/>
                <w:szCs w:val="20"/>
              </w:rPr>
              <w:t xml:space="preserve">De </w:t>
            </w:r>
            <w:r w:rsidRPr="00AE2CB0">
              <w:rPr>
                <w:b/>
                <w:bCs/>
                <w:color w:val="4EA72E" w:themeColor="accent6"/>
                <w:sz w:val="20"/>
                <w:szCs w:val="20"/>
              </w:rPr>
              <w:t>musical van groep 8</w:t>
            </w:r>
            <w:r w:rsidRPr="00AE2CB0">
              <w:rPr>
                <w:color w:val="4EA72E" w:themeColor="accent6"/>
                <w:sz w:val="20"/>
                <w:szCs w:val="20"/>
              </w:rPr>
              <w:t xml:space="preserve"> is in voorbereiding. Het feestje na de musical zal in het eigen lokaal plaatsvinden.</w:t>
            </w:r>
          </w:p>
        </w:tc>
      </w:tr>
      <w:tr w:rsidR="005C4CE7" w:rsidRPr="005C4CE7" w14:paraId="5E58A5C4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7085" w14:textId="77777777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lastRenderedPageBreak/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3582" w14:textId="583E9819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 xml:space="preserve">Mededelingen </w:t>
            </w:r>
            <w:r>
              <w:rPr>
                <w:b/>
              </w:rPr>
              <w:br/>
            </w:r>
            <w:r w:rsidRPr="005C4CE7">
              <w:rPr>
                <w:b/>
              </w:rPr>
              <w:t>De Kinderbrug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9192" w14:textId="77777777" w:rsidR="005C4CE7" w:rsidRPr="005C4CE7" w:rsidRDefault="005C4CE7" w:rsidP="005C4CE7">
            <w:r w:rsidRPr="005C4CE7">
              <w:t>Proces/korte update ontwikkeling schoolplan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639C" w14:textId="77777777" w:rsidR="005C4CE7" w:rsidRPr="005C4CE7" w:rsidRDefault="005C4CE7" w:rsidP="005C4CE7">
            <w:r w:rsidRPr="005C4CE7"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1BC8" w14:textId="77777777" w:rsidR="005C4CE7" w:rsidRPr="005C4CE7" w:rsidRDefault="005C4CE7" w:rsidP="005C4CE7">
            <w:r w:rsidRPr="005C4CE7">
              <w:t>Marja</w:t>
            </w:r>
          </w:p>
        </w:tc>
      </w:tr>
      <w:tr w:rsidR="005C4CE7" w:rsidRPr="005C4CE7" w14:paraId="37BE76A4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F71" w14:textId="77777777" w:rsidR="005C4CE7" w:rsidRPr="005C4CE7" w:rsidRDefault="005C4CE7" w:rsidP="005C4CE7">
            <w:pPr>
              <w:rPr>
                <w:b/>
                <w:bCs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B84" w14:textId="77777777" w:rsidR="0044235B" w:rsidRPr="0044235B" w:rsidRDefault="0044235B" w:rsidP="005C4CE7">
            <w:pPr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4235B"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Pr="005C4CE7"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 xml:space="preserve">e  volgende punten </w:t>
            </w:r>
            <w:r w:rsidRPr="0044235B"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 xml:space="preserve">zijn </w:t>
            </w:r>
            <w:r w:rsidRPr="005C4CE7"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>besproken</w:t>
            </w:r>
            <w:r w:rsidRPr="0044235B"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>:</w:t>
            </w:r>
          </w:p>
          <w:p w14:paraId="6FA39D02" w14:textId="529C18B8" w:rsidR="0044235B" w:rsidRPr="003A689F" w:rsidRDefault="0044235B" w:rsidP="0044235B">
            <w:pPr>
              <w:pStyle w:val="Lijstalinea"/>
              <w:numPr>
                <w:ilvl w:val="0"/>
                <w:numId w:val="1"/>
              </w:numPr>
              <w:rPr>
                <w:color w:val="0070C0"/>
                <w:sz w:val="20"/>
                <w:szCs w:val="20"/>
              </w:rPr>
            </w:pPr>
            <w:r w:rsidRPr="0044235B">
              <w:rPr>
                <w:color w:val="4EA72E" w:themeColor="accent6"/>
                <w:sz w:val="20"/>
                <w:szCs w:val="20"/>
              </w:rPr>
              <w:t>Korte update  van de ontwikkelingen van het schoolplan</w:t>
            </w:r>
            <w:r w:rsidR="003A689F">
              <w:rPr>
                <w:color w:val="4EA72E" w:themeColor="accent6"/>
                <w:sz w:val="20"/>
                <w:szCs w:val="20"/>
              </w:rPr>
              <w:t xml:space="preserve"> </w:t>
            </w:r>
            <w:r w:rsidR="003A689F" w:rsidRPr="001D1025">
              <w:rPr>
                <w:color w:val="4EA72E" w:themeColor="accent6"/>
                <w:sz w:val="20"/>
                <w:szCs w:val="20"/>
              </w:rPr>
              <w:t>voor vier jaar.</w:t>
            </w:r>
          </w:p>
          <w:p w14:paraId="7F721D39" w14:textId="77777777" w:rsidR="0044235B" w:rsidRPr="0044235B" w:rsidRDefault="0044235B" w:rsidP="0044235B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44235B">
              <w:rPr>
                <w:color w:val="4EA72E" w:themeColor="accent6"/>
                <w:sz w:val="20"/>
                <w:szCs w:val="20"/>
              </w:rPr>
              <w:t>Nieuwe doelen en opbrengsten uit het team worden opgenomen in het nieuwe schoolplan.</w:t>
            </w:r>
          </w:p>
          <w:p w14:paraId="70E30512" w14:textId="29B1D115" w:rsidR="0044235B" w:rsidRPr="0044235B" w:rsidRDefault="0044235B" w:rsidP="0044235B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44235B">
              <w:rPr>
                <w:color w:val="4EA72E" w:themeColor="accent6"/>
                <w:sz w:val="20"/>
                <w:szCs w:val="20"/>
              </w:rPr>
              <w:t xml:space="preserve">Eind van het </w:t>
            </w:r>
            <w:r w:rsidR="003A689F" w:rsidRPr="001D1025">
              <w:rPr>
                <w:color w:val="4EA72E" w:themeColor="accent6"/>
                <w:sz w:val="20"/>
                <w:szCs w:val="20"/>
              </w:rPr>
              <w:t>school</w:t>
            </w:r>
            <w:r w:rsidRPr="001D1025">
              <w:rPr>
                <w:color w:val="4EA72E" w:themeColor="accent6"/>
                <w:sz w:val="20"/>
                <w:szCs w:val="20"/>
              </w:rPr>
              <w:t>jaar</w:t>
            </w:r>
            <w:r w:rsidRPr="0044235B">
              <w:rPr>
                <w:color w:val="4EA72E" w:themeColor="accent6"/>
                <w:sz w:val="20"/>
                <w:szCs w:val="20"/>
              </w:rPr>
              <w:t xml:space="preserve"> gaat nieuwe schoolplan</w:t>
            </w:r>
            <w:r w:rsidR="003A689F">
              <w:rPr>
                <w:color w:val="4EA72E" w:themeColor="accent6"/>
                <w:sz w:val="20"/>
                <w:szCs w:val="20"/>
              </w:rPr>
              <w:t xml:space="preserve"> </w:t>
            </w:r>
            <w:r w:rsidR="003A689F" w:rsidRPr="001D1025">
              <w:rPr>
                <w:color w:val="4EA72E" w:themeColor="accent6"/>
                <w:sz w:val="20"/>
                <w:szCs w:val="20"/>
              </w:rPr>
              <w:t>na instemming van de MR</w:t>
            </w:r>
            <w:r w:rsidRPr="001D1025">
              <w:rPr>
                <w:color w:val="4EA72E" w:themeColor="accent6"/>
                <w:sz w:val="20"/>
                <w:szCs w:val="20"/>
              </w:rPr>
              <w:t xml:space="preserve"> </w:t>
            </w:r>
            <w:r w:rsidRPr="0044235B">
              <w:rPr>
                <w:color w:val="4EA72E" w:themeColor="accent6"/>
                <w:sz w:val="20"/>
                <w:szCs w:val="20"/>
              </w:rPr>
              <w:t>naar de inspectie.</w:t>
            </w:r>
          </w:p>
          <w:p w14:paraId="5F14B05B" w14:textId="1B1138C5" w:rsidR="0044235B" w:rsidRPr="0044235B" w:rsidRDefault="0044235B" w:rsidP="0044235B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44235B">
              <w:rPr>
                <w:color w:val="4EA72E" w:themeColor="accent6"/>
                <w:sz w:val="20"/>
                <w:szCs w:val="20"/>
              </w:rPr>
              <w:t>Na</w:t>
            </w:r>
            <w:r w:rsidR="004F3F1B">
              <w:rPr>
                <w:color w:val="4EA72E" w:themeColor="accent6"/>
                <w:sz w:val="20"/>
                <w:szCs w:val="20"/>
              </w:rPr>
              <w:t xml:space="preserve"> goedkeuring (GMR) van het</w:t>
            </w:r>
            <w:r w:rsidRPr="0044235B">
              <w:rPr>
                <w:color w:val="4EA72E" w:themeColor="accent6"/>
                <w:sz w:val="20"/>
                <w:szCs w:val="20"/>
              </w:rPr>
              <w:t xml:space="preserve"> </w:t>
            </w:r>
            <w:proofErr w:type="spellStart"/>
            <w:r w:rsidRPr="0044235B">
              <w:rPr>
                <w:color w:val="4EA72E" w:themeColor="accent6"/>
                <w:sz w:val="20"/>
                <w:szCs w:val="20"/>
              </w:rPr>
              <w:t>bestuursformatieplan</w:t>
            </w:r>
            <w:proofErr w:type="spellEnd"/>
            <w:r w:rsidRPr="0044235B">
              <w:rPr>
                <w:color w:val="4EA72E" w:themeColor="accent6"/>
                <w:sz w:val="20"/>
                <w:szCs w:val="20"/>
              </w:rPr>
              <w:t xml:space="preserve"> </w:t>
            </w:r>
            <w:r>
              <w:rPr>
                <w:color w:val="4EA72E" w:themeColor="accent6"/>
                <w:sz w:val="20"/>
                <w:szCs w:val="20"/>
              </w:rPr>
              <w:t xml:space="preserve">van SSBA </w:t>
            </w:r>
            <w:r w:rsidRPr="0044235B">
              <w:rPr>
                <w:color w:val="4EA72E" w:themeColor="accent6"/>
                <w:sz w:val="20"/>
                <w:szCs w:val="20"/>
              </w:rPr>
              <w:t>volgt de formatie van De Kinderbrug.</w:t>
            </w:r>
          </w:p>
        </w:tc>
      </w:tr>
      <w:tr w:rsidR="005C4CE7" w:rsidRPr="005C4CE7" w14:paraId="0E7AF292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346B" w14:textId="77777777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A13E" w14:textId="4F34FF2F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 xml:space="preserve">Mededelingen </w:t>
            </w:r>
            <w:r>
              <w:rPr>
                <w:b/>
              </w:rPr>
              <w:t>G</w:t>
            </w:r>
            <w:r w:rsidRPr="005C4CE7">
              <w:rPr>
                <w:b/>
              </w:rPr>
              <w:t>MR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C673" w14:textId="77777777" w:rsidR="005C4CE7" w:rsidRPr="005C4CE7" w:rsidRDefault="005C4CE7" w:rsidP="005C4CE7">
            <w:r w:rsidRPr="005C4CE7">
              <w:t>Notulen van GMR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1E97" w14:textId="77777777" w:rsidR="005C4CE7" w:rsidRPr="005C4CE7" w:rsidRDefault="005C4CE7" w:rsidP="005C4CE7">
            <w:r w:rsidRPr="005C4CE7"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6782" w14:textId="77777777" w:rsidR="005C4CE7" w:rsidRPr="005C4CE7" w:rsidRDefault="005C4CE7" w:rsidP="005C4CE7">
            <w:r w:rsidRPr="005C4CE7">
              <w:t>Ellen</w:t>
            </w:r>
          </w:p>
        </w:tc>
      </w:tr>
      <w:tr w:rsidR="005C4CE7" w:rsidRPr="005C4CE7" w14:paraId="3BD4D67D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6C2" w14:textId="77777777" w:rsidR="005C4CE7" w:rsidRPr="005C4CE7" w:rsidRDefault="005C4CE7" w:rsidP="005C4CE7">
            <w:pPr>
              <w:rPr>
                <w:b/>
                <w:bCs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1C6" w14:textId="77777777" w:rsidR="005C4CE7" w:rsidRPr="005C4CE7" w:rsidRDefault="005C4CE7" w:rsidP="005C4CE7">
            <w:pPr>
              <w:spacing w:after="0" w:line="240" w:lineRule="auto"/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C4CE7">
              <w:rPr>
                <w:rFonts w:asciiTheme="minorHAnsi" w:eastAsia="Times New Roman" w:hAnsiTheme="minorHAnsi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>Tijdens de GMR-vergadering zijn de volgende punten besproken:</w:t>
            </w:r>
          </w:p>
          <w:p w14:paraId="6F15B332" w14:textId="2FF1200F" w:rsidR="005C4CE7" w:rsidRPr="008F654F" w:rsidRDefault="005C4CE7" w:rsidP="005C4CE7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  <w:sz w:val="20"/>
                <w:szCs w:val="20"/>
              </w:rPr>
            </w:pPr>
            <w:r w:rsidRPr="008F654F">
              <w:rPr>
                <w:rFonts w:eastAsia="Times New Roman" w:cs="Arial"/>
                <w:color w:val="4EA72E" w:themeColor="accent6"/>
                <w:kern w:val="0"/>
                <w:sz w:val="20"/>
                <w:szCs w:val="20"/>
                <w:lang w:eastAsia="nl-NL"/>
                <w14:ligatures w14:val="none"/>
              </w:rPr>
              <w:t>Het SSBA meerjarenplan en de SSBA begroting</w:t>
            </w:r>
          </w:p>
          <w:p w14:paraId="4B169166" w14:textId="7DA30621" w:rsidR="005C4CE7" w:rsidRPr="005C4CE7" w:rsidRDefault="003A689F" w:rsidP="005C4CE7">
            <w:pPr>
              <w:pStyle w:val="Lijstalinea"/>
              <w:numPr>
                <w:ilvl w:val="0"/>
                <w:numId w:val="1"/>
              </w:numPr>
              <w:rPr>
                <w:color w:val="4EA72E" w:themeColor="accent6"/>
              </w:rPr>
            </w:pPr>
            <w:r w:rsidRPr="008F654F">
              <w:rPr>
                <w:color w:val="4EA72E" w:themeColor="accent6"/>
                <w:sz w:val="20"/>
                <w:szCs w:val="20"/>
              </w:rPr>
              <w:t>V</w:t>
            </w:r>
            <w:r w:rsidR="005C4CE7" w:rsidRPr="008F654F">
              <w:rPr>
                <w:color w:val="4EA72E" w:themeColor="accent6"/>
                <w:sz w:val="20"/>
                <w:szCs w:val="20"/>
              </w:rPr>
              <w:t>akantierooster</w:t>
            </w:r>
            <w:r>
              <w:rPr>
                <w:color w:val="4EA72E" w:themeColor="accent6"/>
                <w:sz w:val="20"/>
                <w:szCs w:val="20"/>
              </w:rPr>
              <w:t xml:space="preserve"> </w:t>
            </w:r>
            <w:r w:rsidRPr="001D1025">
              <w:rPr>
                <w:color w:val="4EA72E" w:themeColor="accent6"/>
                <w:sz w:val="20"/>
                <w:szCs w:val="20"/>
              </w:rPr>
              <w:t>2025-2026 is goedgekeurd. Ouders hebben dit rooster inmiddels ontvangen</w:t>
            </w:r>
            <w:r w:rsidRPr="003A689F">
              <w:rPr>
                <w:color w:val="0070C0"/>
                <w:sz w:val="20"/>
                <w:szCs w:val="20"/>
              </w:rPr>
              <w:t>.</w:t>
            </w:r>
          </w:p>
        </w:tc>
      </w:tr>
      <w:tr w:rsidR="005C4CE7" w:rsidRPr="005C4CE7" w14:paraId="62112ECB" w14:textId="77777777" w:rsidTr="00C767A4">
        <w:trPr>
          <w:trHeight w:val="66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4A7B" w14:textId="77777777" w:rsidR="005C4CE7" w:rsidRPr="005C4CE7" w:rsidRDefault="005C4CE7" w:rsidP="005C4CE7">
            <w:pPr>
              <w:rPr>
                <w:b/>
                <w:bCs/>
              </w:rPr>
            </w:pPr>
            <w:r w:rsidRPr="005C4CE7">
              <w:rPr>
                <w:b/>
                <w:bCs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F0D" w14:textId="77777777" w:rsidR="005C4CE7" w:rsidRPr="005C4CE7" w:rsidRDefault="005C4CE7" w:rsidP="005C4CE7">
            <w:pPr>
              <w:rPr>
                <w:b/>
              </w:rPr>
            </w:pPr>
            <w:r w:rsidRPr="005C4CE7">
              <w:rPr>
                <w:b/>
              </w:rPr>
              <w:t>Sluiting</w:t>
            </w:r>
          </w:p>
          <w:p w14:paraId="7BBAC4FD" w14:textId="77777777" w:rsidR="005C4CE7" w:rsidRPr="005C4CE7" w:rsidRDefault="005C4CE7" w:rsidP="005C4CE7">
            <w:pPr>
              <w:rPr>
                <w:b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13FF" w14:textId="1DAEA0E5" w:rsidR="005C4CE7" w:rsidRPr="005C4CE7" w:rsidRDefault="005C4CE7" w:rsidP="005C4CE7">
            <w:r w:rsidRPr="005C4CE7">
              <w:rPr>
                <w:color w:val="4EA72E" w:themeColor="accent6"/>
              </w:rPr>
              <w:t>21.25u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1AA" w14:textId="77777777" w:rsidR="005C4CE7" w:rsidRPr="005C4CE7" w:rsidRDefault="005C4CE7" w:rsidP="005C4CE7"/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368" w14:textId="77777777" w:rsidR="005C4CE7" w:rsidRPr="005C4CE7" w:rsidRDefault="005C4CE7" w:rsidP="005C4CE7"/>
        </w:tc>
      </w:tr>
      <w:tr w:rsidR="005C4CE7" w:rsidRPr="005C4CE7" w14:paraId="4FF1343A" w14:textId="77777777" w:rsidTr="00C767A4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C8F" w14:textId="77777777" w:rsidR="005C4CE7" w:rsidRPr="005C4CE7" w:rsidRDefault="005C4CE7" w:rsidP="005C4CE7">
            <w:pPr>
              <w:rPr>
                <w:b/>
                <w:bCs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D97B" w14:textId="47D0FAB0" w:rsidR="005C4CE7" w:rsidRPr="005C4CE7" w:rsidRDefault="005C4CE7" w:rsidP="005C4CE7">
            <w:r w:rsidRPr="005C4CE7">
              <w:rPr>
                <w:b/>
                <w:bCs/>
              </w:rPr>
              <w:t>Volgende vergadering</w:t>
            </w:r>
            <w:r w:rsidRPr="005C4CE7">
              <w:t xml:space="preserve"> op : </w:t>
            </w:r>
            <w:r w:rsidRPr="005C4CE7">
              <w:rPr>
                <w:b/>
                <w:bCs/>
              </w:rPr>
              <w:t>dinsdagen</w:t>
            </w:r>
            <w:r w:rsidRPr="005C4CE7">
              <w:t xml:space="preserve">:   </w:t>
            </w:r>
            <w:r w:rsidRPr="005C4CE7">
              <w:rPr>
                <w:color w:val="4EA72E" w:themeColor="accent6"/>
              </w:rPr>
              <w:t>13 mei 2025 24 juni 2025</w:t>
            </w:r>
            <w:r>
              <w:rPr>
                <w:color w:val="4EA72E" w:themeColor="accent6"/>
              </w:rPr>
              <w:br/>
              <w:t xml:space="preserve">                                                                    </w:t>
            </w:r>
            <w:r w:rsidRPr="005C4CE7">
              <w:rPr>
                <w:color w:val="4EA72E" w:themeColor="accent6"/>
                <w:sz w:val="28"/>
                <w:szCs w:val="28"/>
              </w:rPr>
              <w:t>Op school om 20.00u</w:t>
            </w:r>
          </w:p>
        </w:tc>
      </w:tr>
    </w:tbl>
    <w:p w14:paraId="736D682A" w14:textId="77777777" w:rsidR="005C4CE7" w:rsidRPr="005C4CE7" w:rsidRDefault="005C4CE7" w:rsidP="005C4CE7"/>
    <w:p w14:paraId="7AD4E5AA" w14:textId="77777777" w:rsidR="000E36F1" w:rsidRDefault="000E36F1"/>
    <w:sectPr w:rsidR="000E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4D7A"/>
    <w:multiLevelType w:val="hybridMultilevel"/>
    <w:tmpl w:val="FF96A932"/>
    <w:lvl w:ilvl="0" w:tplc="1728D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E7"/>
    <w:rsid w:val="000E36F1"/>
    <w:rsid w:val="001D1025"/>
    <w:rsid w:val="00214DB0"/>
    <w:rsid w:val="003165F7"/>
    <w:rsid w:val="003A689F"/>
    <w:rsid w:val="0044235B"/>
    <w:rsid w:val="004F3F1B"/>
    <w:rsid w:val="005C4CE7"/>
    <w:rsid w:val="007B3199"/>
    <w:rsid w:val="00817557"/>
    <w:rsid w:val="008F654F"/>
    <w:rsid w:val="00901902"/>
    <w:rsid w:val="0094079F"/>
    <w:rsid w:val="00AB571A"/>
    <w:rsid w:val="00AE2CB0"/>
    <w:rsid w:val="00BA5212"/>
    <w:rsid w:val="00BE4B58"/>
    <w:rsid w:val="00C662DE"/>
    <w:rsid w:val="00DD3976"/>
    <w:rsid w:val="00DE6116"/>
    <w:rsid w:val="00FC3C46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7D85"/>
  <w15:chartTrackingRefBased/>
  <w15:docId w15:val="{2389AC7D-8270-453A-A53F-2F12E7AA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4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4C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4C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4C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4C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4C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4C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4C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4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4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4C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4C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4C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4C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4C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4C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4C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4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4C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4C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4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4C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4C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4C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4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4C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4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Jolande van der Luit</dc:creator>
  <cp:keywords/>
  <dc:description/>
  <cp:lastModifiedBy>Jolande van der Luit</cp:lastModifiedBy>
  <cp:revision>4</cp:revision>
  <dcterms:created xsi:type="dcterms:W3CDTF">2025-03-27T13:06:00Z</dcterms:created>
  <dcterms:modified xsi:type="dcterms:W3CDTF">2025-05-23T08:08:00Z</dcterms:modified>
</cp:coreProperties>
</file>